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微软雅黑" w:hAnsi="微软雅黑" w:eastAsia="微软雅黑" w:cs="宋体"/>
          <w:b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微软雅黑" w:hAnsi="微软雅黑" w:eastAsia="微软雅黑" w:cs="宋体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-462915</wp:posOffset>
            </wp:positionV>
            <wp:extent cx="1800225" cy="364490"/>
            <wp:effectExtent l="0" t="0" r="0" b="0"/>
            <wp:wrapNone/>
            <wp:docPr id="1" name="图片 1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364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宋体"/>
          <w:b/>
          <w:bCs/>
          <w:kern w:val="0"/>
          <w:sz w:val="32"/>
          <w:szCs w:val="32"/>
        </w:rPr>
        <w:t>基金账户资料修改申请书（机构）</w:t>
      </w:r>
    </w:p>
    <w:tbl>
      <w:tblPr>
        <w:tblStyle w:val="14"/>
        <w:tblW w:w="10348" w:type="dxa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1701"/>
        <w:gridCol w:w="354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客户/账户名称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基金账号</w:t>
            </w:r>
          </w:p>
        </w:tc>
        <w:tc>
          <w:tcPr>
            <w:tcW w:w="3402" w:type="dxa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交易账号</w:t>
            </w:r>
          </w:p>
        </w:tc>
        <w:tc>
          <w:tcPr>
            <w:tcW w:w="3544" w:type="dxa"/>
            <w:vAlign w:val="center"/>
          </w:tcPr>
          <w:p>
            <w:pPr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业务类型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□资料变更（勾选需变更项目并填写变更后内容）  □增开交易账户（勾选银行信息并填入新银行账号信息）</w:t>
            </w:r>
          </w:p>
        </w:tc>
      </w:tr>
    </w:tbl>
    <w:p>
      <w:pPr>
        <w:ind w:left="141" w:leftChars="67"/>
        <w:jc w:val="left"/>
        <w:rPr>
          <w:rFonts w:ascii="微软雅黑" w:hAnsi="微软雅黑" w:eastAsia="微软雅黑" w:cs="宋体"/>
          <w:b/>
          <w:bCs/>
          <w:kern w:val="0"/>
          <w:sz w:val="24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□</w:t>
      </w:r>
      <w:r>
        <w:rPr>
          <w:rFonts w:hint="eastAsia" w:ascii="微软雅黑" w:hAnsi="微软雅黑" w:eastAsia="微软雅黑" w:cs="宋体"/>
          <w:b/>
          <w:bCs/>
          <w:kern w:val="0"/>
          <w:sz w:val="24"/>
          <w:szCs w:val="28"/>
        </w:rPr>
        <w:t>基本信息：</w:t>
      </w:r>
    </w:p>
    <w:tbl>
      <w:tblPr>
        <w:tblStyle w:val="14"/>
        <w:tblW w:w="4844" w:type="pct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3248"/>
        <w:gridCol w:w="1720"/>
        <w:gridCol w:w="35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机构名称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营业执照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组织机构代码证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□行政机关 □社会团体 □军队 □武警 □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其它：</w:t>
            </w:r>
            <w:r>
              <w:rPr>
                <w:rFonts w:hint="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1569" w:type="pct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1710" w:type="pct"/>
            <w:vAlign w:val="center"/>
          </w:tcPr>
          <w:p>
            <w:pPr>
              <w:ind w:firstLine="360" w:firstLineChars="200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   月    日；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投资者属性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□国企   □民企   □合资  □其它：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所处行业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农、林、牧、渔业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采矿业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制造业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电力、热力、燃气及水生产和供应业</w:t>
            </w:r>
            <w:r>
              <w:rPr>
                <w:rFonts w:hint="eastAsia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建筑业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批发和零售业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交通运输、仓储和邮政业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住宿和餐饮业</w:t>
            </w:r>
            <w:r>
              <w:rPr>
                <w:rFonts w:hint="eastAsia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信息传输、软件和信息技术服务业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金融业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房地产业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租赁和商务服务业</w:t>
            </w:r>
            <w:r>
              <w:rPr>
                <w:rFonts w:hint="eastAsia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科学研究和技术服务业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水利、环境和公共设施管理业</w:t>
            </w:r>
            <w:r>
              <w:rPr>
                <w:rFonts w:hint="eastAsia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居民服务、修理和其他服务业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教育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卫生和社会工作</w:t>
            </w:r>
            <w:r>
              <w:rPr>
                <w:rFonts w:hint="eastAsia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文化、体育和娱乐业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公共管理、社会保障和社会组织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国际组织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机构类型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snapToGrid w:val="0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证券公司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证券公司子公司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银行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银行子公司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信托公司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基金管理公司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基金管理公司子公司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保险公司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保险子公司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私募基金管理人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期货公司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期货公司子公司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财务公司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其他境内金融机构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机关法人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事业单位法人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社会团体法人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非金融机构企业法人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非金融类非法人机构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境外代理人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境外金融机构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外国战略投资者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境外非金融机构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其它：</w:t>
            </w:r>
            <w:r>
              <w:rPr>
                <w:rFonts w:hint="eastAsia" w:ascii="宋体" w:hAnsi="宋体"/>
                <w:color w:val="000000" w:themeColor="text1"/>
                <w:sz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机构资质证书编号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jc w:val="right"/>
              <w:rPr>
                <w:rFonts w:ascii="宋体" w:hAnsi="宋体" w:cs="宋体"/>
                <w:bCs/>
                <w:color w:val="7F7F7F" w:themeColor="background1" w:themeShade="80"/>
                <w:sz w:val="18"/>
                <w:szCs w:val="18"/>
              </w:rPr>
            </w:pPr>
            <w:r>
              <w:rPr>
                <w:rFonts w:hint="eastAsia"/>
                <w:color w:val="7F7F7F" w:themeColor="background1" w:themeShade="80"/>
                <w:sz w:val="18"/>
                <w:szCs w:val="18"/>
              </w:rPr>
              <w:t>（上述财务公司等前13类行业需填写）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注册资本（币种）</w:t>
            </w:r>
          </w:p>
        </w:tc>
        <w:tc>
          <w:tcPr>
            <w:tcW w:w="1569" w:type="pct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经营范围</w:t>
            </w:r>
          </w:p>
        </w:tc>
        <w:tc>
          <w:tcPr>
            <w:tcW w:w="1710" w:type="pct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成立日期</w:t>
            </w:r>
          </w:p>
        </w:tc>
        <w:tc>
          <w:tcPr>
            <w:tcW w:w="1569" w:type="pct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收入来源</w:t>
            </w:r>
          </w:p>
        </w:tc>
        <w:tc>
          <w:tcPr>
            <w:tcW w:w="1710" w:type="pct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账户实际控制人</w:t>
            </w:r>
          </w:p>
          <w:p>
            <w:pPr>
              <w:snapToGrid w:val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(自然人)</w:t>
            </w:r>
          </w:p>
        </w:tc>
        <w:tc>
          <w:tcPr>
            <w:tcW w:w="1569" w:type="pct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账户实际控制人证件类型</w:t>
            </w:r>
          </w:p>
        </w:tc>
        <w:tc>
          <w:tcPr>
            <w:tcW w:w="1710" w:type="pct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身份证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其它：</w:t>
            </w:r>
            <w:r>
              <w:rPr>
                <w:rFonts w:hint="eastAsia"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账户实际控制人</w:t>
            </w:r>
          </w:p>
          <w:p>
            <w:pPr>
              <w:snapToGrid w:val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1569" w:type="pct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账户实际控制人证件有效期至</w:t>
            </w:r>
          </w:p>
        </w:tc>
        <w:tc>
          <w:tcPr>
            <w:tcW w:w="1710" w:type="pct"/>
            <w:vAlign w:val="center"/>
          </w:tcPr>
          <w:p>
            <w:pPr>
              <w:ind w:firstLine="360" w:firstLineChars="200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账户实际受益人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jc w:val="right"/>
              <w:rPr>
                <w:color w:val="7F7F7F" w:themeColor="background1" w:themeShade="80"/>
                <w:sz w:val="18"/>
                <w:szCs w:val="18"/>
              </w:rPr>
            </w:pPr>
            <w:r>
              <w:rPr>
                <w:rFonts w:hint="eastAsia"/>
                <w:color w:val="7F7F7F" w:themeColor="background1" w:themeShade="80"/>
                <w:sz w:val="18"/>
                <w:szCs w:val="18"/>
              </w:rPr>
              <w:t>（不填写默认为本账户）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是否有不良诚信记录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ind w:right="360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□无   □有，请详述：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机构税收居民身份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□仅为中国税收居民  □仅为非居民  □既是中国税收居民又是其他国家（地区）税收居民</w:t>
            </w:r>
          </w:p>
        </w:tc>
      </w:tr>
    </w:tbl>
    <w:p>
      <w:pPr>
        <w:ind w:left="141" w:leftChars="67"/>
        <w:jc w:val="left"/>
        <w:rPr>
          <w:rFonts w:ascii="宋体" w:hAnsi="宋体" w:cs="宋体"/>
          <w:bCs/>
          <w:kern w:val="0"/>
          <w:sz w:val="18"/>
          <w:szCs w:val="1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□</w:t>
      </w:r>
      <w:r>
        <w:rPr>
          <w:rFonts w:hint="eastAsia" w:ascii="微软雅黑" w:hAnsi="微软雅黑" w:eastAsia="微软雅黑" w:cs="宋体"/>
          <w:b/>
          <w:bCs/>
          <w:kern w:val="0"/>
          <w:sz w:val="24"/>
        </w:rPr>
        <w:t>产品信息：</w:t>
      </w:r>
      <w:r>
        <w:rPr>
          <w:rFonts w:hint="eastAsia" w:ascii="宋体" w:hAnsi="宋体" w:cs="宋体"/>
          <w:bCs/>
          <w:kern w:val="0"/>
          <w:sz w:val="18"/>
          <w:szCs w:val="18"/>
        </w:rPr>
        <w:t>（以产品名义开户需填写以下内容，</w:t>
      </w:r>
      <w:r>
        <w:rPr>
          <w:rFonts w:hint="eastAsia" w:ascii="宋体" w:hAnsi="宋体" w:cs="宋体"/>
          <w:b/>
          <w:bCs/>
          <w:kern w:val="0"/>
          <w:sz w:val="18"/>
          <w:szCs w:val="18"/>
        </w:rPr>
        <w:t>非产品账户不需要填写</w:t>
      </w:r>
      <w:r>
        <w:rPr>
          <w:rFonts w:hint="eastAsia" w:ascii="宋体" w:hAnsi="宋体" w:cs="宋体"/>
          <w:bCs/>
          <w:kern w:val="0"/>
          <w:sz w:val="18"/>
          <w:szCs w:val="18"/>
        </w:rPr>
        <w:t>。）</w:t>
      </w:r>
    </w:p>
    <w:tbl>
      <w:tblPr>
        <w:tblStyle w:val="14"/>
        <w:tblW w:w="0" w:type="auto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1559"/>
        <w:gridCol w:w="36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产品类型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开放式公募基金产品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封闭式公募基金产品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基金公司专户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基金子公司产品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银行理财产品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信托计划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保险产品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保险公司及其子公司的资产管理计划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证券公司及其子公司集合理财产品（含证券公司大集合）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证券公司及其子公司专项资管计划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证券公司及其子公司单一资管计划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期货公司及其子公司的资产管理计划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私募投资基金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政府引导基金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全国社保基金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地方社保基金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基本养老保险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养老金产品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企业年金及职业年金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境外资金（QFII）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境外资金（RQFII）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其它境外资金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社会公益基金（慈善基金、捐赠基金等） 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其它：</w:t>
            </w:r>
            <w:r>
              <w:rPr>
                <w:rFonts w:hint="eastAsia" w:ascii="宋体" w:hAnsi="宋体"/>
                <w:color w:val="000000" w:themeColor="text1"/>
                <w:sz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产品备案机构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□银保监会  □证监会  □基金业协会   □其它：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产品证件类型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□登记证书  □批文    □营业执照     □其它：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产品备案编号</w:t>
            </w: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产品备案日期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产品成立日期</w:t>
            </w: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产品到期日期</w:t>
            </w:r>
          </w:p>
        </w:tc>
        <w:tc>
          <w:tcPr>
            <w:tcW w:w="3686" w:type="dxa"/>
            <w:vAlign w:val="center"/>
          </w:tcPr>
          <w:p>
            <w:pPr>
              <w:ind w:firstLine="360" w:firstLineChars="200"/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产品管理人</w:t>
            </w: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产品规模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产品托管人（如有）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left="141" w:leftChars="67"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</w:p>
    <w:p>
      <w:pPr>
        <w:ind w:left="141" w:leftChars="67"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</w:p>
    <w:p>
      <w:pPr>
        <w:ind w:left="141" w:leftChars="67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微软雅黑" w:hAnsi="微软雅黑" w:eastAsia="微软雅黑" w:cs="宋体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-427355</wp:posOffset>
            </wp:positionV>
            <wp:extent cx="1799590" cy="364490"/>
            <wp:effectExtent l="0" t="0" r="0" b="0"/>
            <wp:wrapNone/>
            <wp:docPr id="2" name="图片 2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□</w:t>
      </w:r>
      <w:r>
        <w:rPr>
          <w:rFonts w:hint="eastAsia" w:ascii="微软雅黑" w:hAnsi="微软雅黑" w:eastAsia="微软雅黑" w:cs="宋体"/>
          <w:b/>
          <w:bCs/>
          <w:kern w:val="0"/>
          <w:sz w:val="24"/>
        </w:rPr>
        <w:t>银行信息：</w:t>
      </w:r>
      <w:r>
        <w:rPr>
          <w:rFonts w:hint="eastAsia" w:ascii="宋体" w:hAnsi="宋体" w:cs="宋体"/>
          <w:bCs/>
          <w:kern w:val="0"/>
          <w:sz w:val="18"/>
          <w:szCs w:val="18"/>
        </w:rPr>
        <w:t>（此银行账号将用于赎回款和现金红利划款，请务必保证填写正确。）</w:t>
      </w:r>
    </w:p>
    <w:tbl>
      <w:tblPr>
        <w:tblStyle w:val="14"/>
        <w:tblW w:w="0" w:type="auto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87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银行账号户名</w:t>
            </w:r>
          </w:p>
        </w:tc>
        <w:tc>
          <w:tcPr>
            <w:tcW w:w="8789" w:type="dxa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银行账号</w:t>
            </w:r>
          </w:p>
        </w:tc>
        <w:tc>
          <w:tcPr>
            <w:tcW w:w="8789" w:type="dxa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7F7F7F" w:themeColor="background1" w:themeShade="80"/>
                <w:sz w:val="18"/>
                <w:szCs w:val="18"/>
              </w:rPr>
            </w:pPr>
            <w:r>
              <w:rPr>
                <w:rFonts w:hint="eastAsia"/>
                <w:color w:val="7F7F7F" w:themeColor="background1" w:themeShade="80"/>
                <w:sz w:val="18"/>
                <w:szCs w:val="18"/>
              </w:rPr>
              <w:t>（须与打款账号一致）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开户行</w:t>
            </w:r>
          </w:p>
        </w:tc>
        <w:tc>
          <w:tcPr>
            <w:tcW w:w="8789" w:type="dxa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7F7F7F" w:themeColor="background1" w:themeShade="80"/>
                <w:sz w:val="18"/>
                <w:szCs w:val="18"/>
              </w:rPr>
            </w:pPr>
            <w:r>
              <w:rPr>
                <w:rFonts w:hint="eastAsia"/>
                <w:color w:val="7F7F7F" w:themeColor="background1" w:themeShade="80"/>
                <w:sz w:val="18"/>
                <w:szCs w:val="18"/>
              </w:rPr>
              <w:t>（银行分行支行）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大额支付号</w:t>
            </w:r>
          </w:p>
        </w:tc>
        <w:tc>
          <w:tcPr>
            <w:tcW w:w="8789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left="141" w:leftChars="67"/>
        <w:jc w:val="left"/>
        <w:rPr>
          <w:rFonts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□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交易方式：</w:t>
      </w:r>
      <w:r>
        <w:rPr>
          <w:rFonts w:hint="eastAsia"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（各交易方式的风险及责任条款请阅读《基金传真及电子文档委托协议书》，默认全部开通）</w:t>
      </w:r>
    </w:p>
    <w:tbl>
      <w:tblPr>
        <w:tblStyle w:val="14"/>
        <w:tblW w:w="0" w:type="auto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0348" w:type="dxa"/>
            <w:vAlign w:val="center"/>
          </w:tcPr>
          <w:p>
            <w:pPr>
              <w:ind w:left="34" w:leftChars="16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□柜台交易  □传真</w:t>
            </w: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及电子文档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交易</w:t>
            </w:r>
          </w:p>
        </w:tc>
      </w:tr>
    </w:tbl>
    <w:p>
      <w:pPr>
        <w:ind w:left="141" w:leftChars="67"/>
        <w:jc w:val="left"/>
        <w:rPr>
          <w:rFonts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□</w:t>
      </w: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联系信息：</w:t>
      </w:r>
    </w:p>
    <w:tbl>
      <w:tblPr>
        <w:tblStyle w:val="14"/>
        <w:tblW w:w="1034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851"/>
        <w:gridCol w:w="711"/>
        <w:gridCol w:w="1127"/>
        <w:gridCol w:w="993"/>
        <w:gridCol w:w="997"/>
        <w:gridCol w:w="851"/>
        <w:gridCol w:w="1417"/>
        <w:gridCol w:w="2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0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</w:tc>
        <w:tc>
          <w:tcPr>
            <w:tcW w:w="851" w:type="dxa"/>
            <w:tcBorders>
              <w:top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38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□机构   □个人</w:t>
            </w:r>
          </w:p>
        </w:tc>
        <w:tc>
          <w:tcPr>
            <w:tcW w:w="993" w:type="dxa"/>
            <w:vMerge w:val="restart"/>
            <w:tcBorders>
              <w:top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848" w:type="dxa"/>
            <w:gridSpan w:val="2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411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0" w:type="dxa"/>
            <w:vMerge w:val="continue"/>
            <w:tcBorders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838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Merge w:val="continue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8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Merge w:val="continue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1" w:type="dxa"/>
            <w:vMerge w:val="continue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0" w:type="dxa"/>
            <w:vMerge w:val="continue"/>
            <w:tcBorders>
              <w:left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467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2411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0348" w:type="dxa"/>
            <w:gridSpan w:val="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□变更预留印鉴（请填写印鉴卡）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0348" w:type="dxa"/>
            <w:gridSpan w:val="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□新增经办人（请填写基金业务授权委托书）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0" w:type="dxa"/>
            <w:vMerge w:val="restart"/>
            <w:tcBorders>
              <w:top w:val="single" w:color="auto" w:sz="4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经办人1</w:t>
            </w:r>
          </w:p>
        </w:tc>
        <w:tc>
          <w:tcPr>
            <w:tcW w:w="851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411" w:type="dxa"/>
            <w:tcBorders>
              <w:top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0" w:type="dxa"/>
            <w:vMerge w:val="continue"/>
            <w:tcBorders>
              <w:left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8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7F7F7F" w:themeColor="background1" w:themeShade="8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2411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0" w:type="dxa"/>
            <w:vMerge w:val="restart"/>
            <w:tcBorders>
              <w:top w:val="single" w:color="auto" w:sz="4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经办人2</w:t>
            </w:r>
          </w:p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（选填）</w:t>
            </w:r>
          </w:p>
        </w:tc>
        <w:tc>
          <w:tcPr>
            <w:tcW w:w="851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0" w:type="dxa"/>
            <w:vMerge w:val="continue"/>
            <w:tcBorders>
              <w:left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8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48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2411" w:type="dxa"/>
            <w:tcBorders>
              <w:left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0" w:type="dxa"/>
            <w:vMerge w:val="restart"/>
            <w:tcBorders>
              <w:top w:val="single" w:color="auto" w:sz="4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经办人3</w:t>
            </w:r>
          </w:p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（选填）</w:t>
            </w:r>
          </w:p>
        </w:tc>
        <w:tc>
          <w:tcPr>
            <w:tcW w:w="851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848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411" w:type="dxa"/>
            <w:tcBorders>
              <w:left w:val="single" w:color="auto" w:sz="4" w:space="0"/>
              <w:right w:val="single" w:color="auto" w:sz="12" w:space="0"/>
            </w:tcBorders>
            <w:shd w:val="clear" w:color="auto" w:fill="FFFFFF" w:themeFill="background1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0" w:type="dxa"/>
            <w:vMerge w:val="continue"/>
            <w:tcBorders>
              <w:left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8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48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2411" w:type="dxa"/>
            <w:tcBorders>
              <w:left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0" w:type="dxa"/>
            <w:vMerge w:val="restart"/>
            <w:tcBorders>
              <w:top w:val="single" w:color="auto" w:sz="4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经办人4</w:t>
            </w:r>
          </w:p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（选填）</w:t>
            </w:r>
          </w:p>
        </w:tc>
        <w:tc>
          <w:tcPr>
            <w:tcW w:w="851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848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411" w:type="dxa"/>
            <w:tcBorders>
              <w:left w:val="single" w:color="auto" w:sz="4" w:space="0"/>
              <w:right w:val="single" w:color="auto" w:sz="12" w:space="0"/>
            </w:tcBorders>
            <w:shd w:val="clear" w:color="auto" w:fill="FFFFFF" w:themeFill="background1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</w:trPr>
        <w:tc>
          <w:tcPr>
            <w:tcW w:w="990" w:type="dxa"/>
            <w:vMerge w:val="continue"/>
            <w:tcBorders>
              <w:left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8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48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2411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0348" w:type="dxa"/>
            <w:gridSpan w:val="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□变更经办人授权（请填写基金业务授权委托书）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841" w:type="dxa"/>
            <w:gridSpan w:val="2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□解除经办人授权</w:t>
            </w:r>
          </w:p>
        </w:tc>
        <w:tc>
          <w:tcPr>
            <w:tcW w:w="7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2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467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841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8507" w:type="dxa"/>
            <w:gridSpan w:val="7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Cs/>
                <w:color w:val="7F7F7F" w:themeColor="background1" w:themeShade="80"/>
                <w:sz w:val="18"/>
                <w:szCs w:val="18"/>
              </w:rPr>
            </w:pPr>
            <w:r>
              <w:rPr>
                <w:rFonts w:hint="eastAsia"/>
                <w:color w:val="7F7F7F" w:themeColor="background1" w:themeShade="80"/>
                <w:sz w:val="18"/>
                <w:szCs w:val="18"/>
              </w:rPr>
              <w:t>（用于接收交易和账户确认单）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841" w:type="dxa"/>
            <w:gridSpan w:val="2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对账单寄送方式</w:t>
            </w:r>
          </w:p>
        </w:tc>
        <w:tc>
          <w:tcPr>
            <w:tcW w:w="8507" w:type="dxa"/>
            <w:gridSpan w:val="7"/>
            <w:vAlign w:val="center"/>
          </w:tcPr>
          <w:p>
            <w:pPr>
              <w:snapToGrid w:val="0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□不寄送□按月□按季□半年□一年                   </w:t>
            </w:r>
            <w:r>
              <w:rPr>
                <w:rFonts w:hint="eastAsia"/>
                <w:color w:val="7F7F7F" w:themeColor="background1" w:themeShade="80"/>
                <w:sz w:val="18"/>
                <w:szCs w:val="18"/>
              </w:rPr>
              <w:t>（默认为电子邮件对账单方式，如需邮寄请注明）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841" w:type="dxa"/>
            <w:gridSpan w:val="2"/>
            <w:tcBorders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2831" w:type="dxa"/>
            <w:gridSpan w:val="3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4679" w:type="dxa"/>
            <w:gridSpan w:val="3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ind w:firstLine="2160" w:firstLineChars="1200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7F7F7F" w:themeColor="background1" w:themeShade="80"/>
                <w:kern w:val="0"/>
                <w:sz w:val="18"/>
                <w:szCs w:val="18"/>
              </w:rPr>
              <w:t>（国家码-</w:t>
            </w:r>
            <w:r>
              <w:rPr>
                <w:rFonts w:hint="eastAsia"/>
                <w:color w:val="7F7F7F" w:themeColor="background1" w:themeShade="80"/>
                <w:sz w:val="18"/>
                <w:szCs w:val="18"/>
              </w:rPr>
              <w:t>地区码-电话号码</w:t>
            </w:r>
            <w:r>
              <w:rPr>
                <w:rFonts w:hint="eastAsia"/>
                <w:color w:val="7F7F7F" w:themeColor="background1" w:themeShade="80"/>
                <w:kern w:val="0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841" w:type="dxa"/>
            <w:gridSpan w:val="2"/>
            <w:tcBorders>
              <w:left w:val="single" w:color="auto" w:sz="12" w:space="0"/>
              <w:bottom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办公地址</w:t>
            </w:r>
          </w:p>
        </w:tc>
        <w:tc>
          <w:tcPr>
            <w:tcW w:w="2831" w:type="dxa"/>
            <w:gridSpan w:val="3"/>
            <w:tcBorders>
              <w:bottom w:val="single" w:color="auto" w:sz="12" w:space="0"/>
            </w:tcBorders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bottom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4679" w:type="dxa"/>
            <w:gridSpan w:val="3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left="141" w:leftChars="67"/>
        <w:jc w:val="left"/>
        <w:rPr>
          <w:rFonts w:ascii="微软雅黑" w:hAnsi="微软雅黑" w:eastAsia="微软雅黑" w:cs="宋体"/>
          <w:b/>
          <w:bCs/>
          <w:kern w:val="0"/>
          <w:sz w:val="24"/>
        </w:rPr>
      </w:pPr>
      <w:r>
        <w:rPr>
          <w:rFonts w:hint="eastAsia" w:ascii="微软雅黑" w:hAnsi="微软雅黑" w:eastAsia="微软雅黑" w:cs="宋体"/>
          <w:b/>
          <w:bCs/>
          <w:kern w:val="0"/>
          <w:sz w:val="24"/>
        </w:rPr>
        <w:t>投资者声明：</w:t>
      </w:r>
    </w:p>
    <w:tbl>
      <w:tblPr>
        <w:tblStyle w:val="14"/>
        <w:tblW w:w="10364" w:type="dxa"/>
        <w:tblInd w:w="23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0364" w:type="dxa"/>
            <w:vAlign w:val="center"/>
          </w:tcPr>
          <w:p>
            <w:pPr>
              <w:ind w:left="332" w:leftChars="-1" w:hanging="334" w:hangingChars="186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1.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本机构已经阅读并充分了解国家有关公开募集证券投资基金的法律、法规、相关政策和风险。</w:t>
            </w:r>
          </w:p>
          <w:p>
            <w:pPr>
              <w:ind w:left="332" w:leftChars="-1" w:hanging="334" w:hangingChars="186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本机构已阅读并充分了解《证券投资基金投资者权益须知》及基金管理业务与业务规则，已阅读《基金传真及电子文档委托协议》并接受此交易方式可能产生的风险。</w:t>
            </w:r>
          </w:p>
          <w:p>
            <w:pPr>
              <w:ind w:left="332" w:leftChars="-1" w:hanging="334" w:hangingChars="186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3.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本机构保证所提供的资料真实、有效，并自愿履行基金投资者的各项义务，自行承担基金投资风险。</w:t>
            </w:r>
          </w:p>
          <w:p>
            <w:pPr>
              <w:ind w:left="334" w:leftChars="-1" w:hanging="336" w:hangingChars="186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4.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当本机构上述信息发生变化，应及时告知基金管理人。</w:t>
            </w:r>
          </w:p>
        </w:tc>
      </w:tr>
    </w:tbl>
    <w:p>
      <w:pPr>
        <w:ind w:left="141" w:leftChars="67"/>
        <w:jc w:val="left"/>
        <w:rPr>
          <w:rFonts w:ascii="微软雅黑" w:hAnsi="微软雅黑" w:eastAsia="微软雅黑" w:cs="宋体"/>
          <w:b/>
          <w:bCs/>
          <w:kern w:val="0"/>
          <w:sz w:val="24"/>
        </w:rPr>
      </w:pPr>
      <w:r>
        <w:rPr>
          <w:rFonts w:hint="eastAsia" w:ascii="微软雅黑" w:hAnsi="微软雅黑" w:eastAsia="微软雅黑" w:cs="宋体"/>
          <w:b/>
          <w:bCs/>
          <w:kern w:val="0"/>
          <w:sz w:val="24"/>
        </w:rPr>
        <w:t>投资者签章区：</w:t>
      </w:r>
    </w:p>
    <w:tbl>
      <w:tblPr>
        <w:tblStyle w:val="14"/>
        <w:tblW w:w="10364" w:type="dxa"/>
        <w:tblInd w:w="23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2"/>
        <w:gridCol w:w="58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4552" w:type="dxa"/>
          </w:tcPr>
          <w:p>
            <w:pPr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预留印鉴：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（请与预留印鉴保持一致）</w:t>
            </w:r>
          </w:p>
          <w:p>
            <w:pPr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812" w:type="dxa"/>
          </w:tcPr>
          <w:p>
            <w:pPr>
              <w:jc w:val="left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机构经办人签字：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（请任意授权经办人签字并与预留印鉴保持一致）</w:t>
            </w:r>
          </w:p>
          <w:p>
            <w:pPr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</w:tr>
    </w:tbl>
    <w:p>
      <w:pPr>
        <w:spacing w:before="156" w:beforeLines="50" w:after="156" w:afterLines="50"/>
        <w:ind w:left="141" w:leftChars="67"/>
        <w:jc w:val="left"/>
        <w:rPr>
          <w:sz w:val="18"/>
          <w:szCs w:val="18"/>
        </w:rPr>
      </w:pPr>
      <w:r>
        <w:rPr>
          <w:rFonts w:hint="eastAsia" w:ascii="宋体" w:hAnsi="宋体" w:cs="宋体"/>
          <w:bCs/>
          <w:kern w:val="0"/>
          <w:sz w:val="18"/>
          <w:szCs w:val="18"/>
        </w:rPr>
        <w:t xml:space="preserve">填写日期：              </w:t>
      </w:r>
      <w:r>
        <w:rPr>
          <w:rFonts w:hint="eastAsia"/>
          <w:sz w:val="18"/>
          <w:szCs w:val="18"/>
        </w:rPr>
        <w:t>柜台录入</w:t>
      </w:r>
      <w:r>
        <w:rPr>
          <w:rFonts w:hint="eastAsia" w:ascii="宋体" w:hAnsi="宋体" w:cs="宋体"/>
          <w:bCs/>
          <w:kern w:val="0"/>
          <w:sz w:val="18"/>
          <w:szCs w:val="18"/>
        </w:rPr>
        <w:t xml:space="preserve">：              </w:t>
      </w:r>
      <w:r>
        <w:rPr>
          <w:rFonts w:hint="eastAsia"/>
          <w:sz w:val="18"/>
          <w:szCs w:val="18"/>
        </w:rPr>
        <w:t>柜台复核</w:t>
      </w:r>
      <w:r>
        <w:rPr>
          <w:rFonts w:hint="eastAsia" w:ascii="宋体" w:hAnsi="宋体" w:cs="宋体"/>
          <w:bCs/>
          <w:kern w:val="0"/>
          <w:sz w:val="18"/>
          <w:szCs w:val="18"/>
        </w:rPr>
        <w:t xml:space="preserve">：              </w:t>
      </w:r>
      <w:r>
        <w:rPr>
          <w:rFonts w:hint="eastAsia"/>
          <w:sz w:val="18"/>
          <w:szCs w:val="18"/>
        </w:rPr>
        <w:t>客户经理：</w:t>
      </w:r>
    </w:p>
    <w:sectPr>
      <w:headerReference r:id="rId3" w:type="default"/>
      <w:footerReference r:id="rId4" w:type="default"/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4551602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540A"/>
    <w:rsid w:val="00012F23"/>
    <w:rsid w:val="00015143"/>
    <w:rsid w:val="000152BF"/>
    <w:rsid w:val="0002786D"/>
    <w:rsid w:val="00066D3C"/>
    <w:rsid w:val="00071A36"/>
    <w:rsid w:val="0009444D"/>
    <w:rsid w:val="000A4E70"/>
    <w:rsid w:val="000A67DC"/>
    <w:rsid w:val="000B3EC1"/>
    <w:rsid w:val="000C5854"/>
    <w:rsid w:val="000F10FA"/>
    <w:rsid w:val="000F76BE"/>
    <w:rsid w:val="00132353"/>
    <w:rsid w:val="00160832"/>
    <w:rsid w:val="001617A1"/>
    <w:rsid w:val="00164697"/>
    <w:rsid w:val="00164938"/>
    <w:rsid w:val="0018005A"/>
    <w:rsid w:val="00190B90"/>
    <w:rsid w:val="001A1E4E"/>
    <w:rsid w:val="001B029A"/>
    <w:rsid w:val="001D7AB2"/>
    <w:rsid w:val="001E21B1"/>
    <w:rsid w:val="001E4E2E"/>
    <w:rsid w:val="001F75D2"/>
    <w:rsid w:val="00203083"/>
    <w:rsid w:val="00217E30"/>
    <w:rsid w:val="00235093"/>
    <w:rsid w:val="00235D4C"/>
    <w:rsid w:val="00253D98"/>
    <w:rsid w:val="002A3FC3"/>
    <w:rsid w:val="002D28A7"/>
    <w:rsid w:val="002E0B33"/>
    <w:rsid w:val="002E1CC2"/>
    <w:rsid w:val="002F7236"/>
    <w:rsid w:val="003310BC"/>
    <w:rsid w:val="00367928"/>
    <w:rsid w:val="0038415C"/>
    <w:rsid w:val="003A25B3"/>
    <w:rsid w:val="003B00CF"/>
    <w:rsid w:val="003B2FBB"/>
    <w:rsid w:val="003B4E83"/>
    <w:rsid w:val="003C1FE3"/>
    <w:rsid w:val="003C3072"/>
    <w:rsid w:val="003D44B9"/>
    <w:rsid w:val="00402E96"/>
    <w:rsid w:val="00421AFD"/>
    <w:rsid w:val="004347C0"/>
    <w:rsid w:val="0045524D"/>
    <w:rsid w:val="00457CC9"/>
    <w:rsid w:val="00474640"/>
    <w:rsid w:val="00477CC7"/>
    <w:rsid w:val="004800BA"/>
    <w:rsid w:val="00480AE0"/>
    <w:rsid w:val="004814DD"/>
    <w:rsid w:val="00493FCF"/>
    <w:rsid w:val="004A0992"/>
    <w:rsid w:val="004A6CC6"/>
    <w:rsid w:val="004B2659"/>
    <w:rsid w:val="004C23E1"/>
    <w:rsid w:val="004F01A0"/>
    <w:rsid w:val="00503CC9"/>
    <w:rsid w:val="00514C59"/>
    <w:rsid w:val="00516FBA"/>
    <w:rsid w:val="0055086F"/>
    <w:rsid w:val="00560B61"/>
    <w:rsid w:val="0057436C"/>
    <w:rsid w:val="00574ABE"/>
    <w:rsid w:val="00580BC7"/>
    <w:rsid w:val="00581B93"/>
    <w:rsid w:val="005863B8"/>
    <w:rsid w:val="00591C7F"/>
    <w:rsid w:val="005A29CB"/>
    <w:rsid w:val="005A3547"/>
    <w:rsid w:val="005D116C"/>
    <w:rsid w:val="005D21C4"/>
    <w:rsid w:val="005E7DF2"/>
    <w:rsid w:val="005F0174"/>
    <w:rsid w:val="005F0FBA"/>
    <w:rsid w:val="00613ED2"/>
    <w:rsid w:val="006270AB"/>
    <w:rsid w:val="00642437"/>
    <w:rsid w:val="00646C08"/>
    <w:rsid w:val="006729CE"/>
    <w:rsid w:val="00672B28"/>
    <w:rsid w:val="00673D32"/>
    <w:rsid w:val="00682195"/>
    <w:rsid w:val="0068622B"/>
    <w:rsid w:val="00690ED5"/>
    <w:rsid w:val="006A50DF"/>
    <w:rsid w:val="006D0D6D"/>
    <w:rsid w:val="006D34AA"/>
    <w:rsid w:val="006D47D5"/>
    <w:rsid w:val="006E4FAD"/>
    <w:rsid w:val="006E5313"/>
    <w:rsid w:val="006E6EA1"/>
    <w:rsid w:val="007141F4"/>
    <w:rsid w:val="00724591"/>
    <w:rsid w:val="00756C5E"/>
    <w:rsid w:val="007661A7"/>
    <w:rsid w:val="0079302F"/>
    <w:rsid w:val="007A1002"/>
    <w:rsid w:val="007A7D12"/>
    <w:rsid w:val="007F1E0C"/>
    <w:rsid w:val="007F6DCB"/>
    <w:rsid w:val="00806B40"/>
    <w:rsid w:val="008140F0"/>
    <w:rsid w:val="008312D4"/>
    <w:rsid w:val="00840949"/>
    <w:rsid w:val="00880A1B"/>
    <w:rsid w:val="00881915"/>
    <w:rsid w:val="008821BF"/>
    <w:rsid w:val="008866C1"/>
    <w:rsid w:val="008925B0"/>
    <w:rsid w:val="008B56DB"/>
    <w:rsid w:val="008D507E"/>
    <w:rsid w:val="008D5AD5"/>
    <w:rsid w:val="008E677C"/>
    <w:rsid w:val="008F187B"/>
    <w:rsid w:val="009018C7"/>
    <w:rsid w:val="009203E8"/>
    <w:rsid w:val="009249DD"/>
    <w:rsid w:val="0095601C"/>
    <w:rsid w:val="00970796"/>
    <w:rsid w:val="009763C9"/>
    <w:rsid w:val="009910E8"/>
    <w:rsid w:val="00995BFF"/>
    <w:rsid w:val="00995CC1"/>
    <w:rsid w:val="009A11C7"/>
    <w:rsid w:val="009B03F0"/>
    <w:rsid w:val="009C1537"/>
    <w:rsid w:val="009C3231"/>
    <w:rsid w:val="009C7038"/>
    <w:rsid w:val="009D17D9"/>
    <w:rsid w:val="009F0D52"/>
    <w:rsid w:val="009F3CA1"/>
    <w:rsid w:val="00A3160E"/>
    <w:rsid w:val="00A33288"/>
    <w:rsid w:val="00A51767"/>
    <w:rsid w:val="00A60578"/>
    <w:rsid w:val="00A67D1A"/>
    <w:rsid w:val="00A75389"/>
    <w:rsid w:val="00A81B53"/>
    <w:rsid w:val="00AF52C4"/>
    <w:rsid w:val="00B23C60"/>
    <w:rsid w:val="00B31C83"/>
    <w:rsid w:val="00B4589C"/>
    <w:rsid w:val="00B54A34"/>
    <w:rsid w:val="00B550F6"/>
    <w:rsid w:val="00B67F59"/>
    <w:rsid w:val="00B86A1D"/>
    <w:rsid w:val="00BA252C"/>
    <w:rsid w:val="00BB1FCF"/>
    <w:rsid w:val="00BB7FDA"/>
    <w:rsid w:val="00C127B8"/>
    <w:rsid w:val="00C16F8A"/>
    <w:rsid w:val="00C3706B"/>
    <w:rsid w:val="00C553E1"/>
    <w:rsid w:val="00C74158"/>
    <w:rsid w:val="00CC1855"/>
    <w:rsid w:val="00CD3B4E"/>
    <w:rsid w:val="00CE2C77"/>
    <w:rsid w:val="00CE3C33"/>
    <w:rsid w:val="00CE47DB"/>
    <w:rsid w:val="00CE5397"/>
    <w:rsid w:val="00CE59F2"/>
    <w:rsid w:val="00D1418B"/>
    <w:rsid w:val="00D445E3"/>
    <w:rsid w:val="00D45294"/>
    <w:rsid w:val="00D479BB"/>
    <w:rsid w:val="00D5549C"/>
    <w:rsid w:val="00D63D37"/>
    <w:rsid w:val="00D77BD1"/>
    <w:rsid w:val="00D847FA"/>
    <w:rsid w:val="00DB710F"/>
    <w:rsid w:val="00DC2D7E"/>
    <w:rsid w:val="00DF0AE3"/>
    <w:rsid w:val="00DF0D90"/>
    <w:rsid w:val="00E00E56"/>
    <w:rsid w:val="00E4245F"/>
    <w:rsid w:val="00E47723"/>
    <w:rsid w:val="00E65FD4"/>
    <w:rsid w:val="00EA2559"/>
    <w:rsid w:val="00EA40C7"/>
    <w:rsid w:val="00EB0F35"/>
    <w:rsid w:val="00EB4EE4"/>
    <w:rsid w:val="00ED17E5"/>
    <w:rsid w:val="00EF338D"/>
    <w:rsid w:val="00EF6EA6"/>
    <w:rsid w:val="00F03C6A"/>
    <w:rsid w:val="00F07EFF"/>
    <w:rsid w:val="00F10FCA"/>
    <w:rsid w:val="00F13723"/>
    <w:rsid w:val="00F26D32"/>
    <w:rsid w:val="00F27C26"/>
    <w:rsid w:val="00F356A3"/>
    <w:rsid w:val="00F4700B"/>
    <w:rsid w:val="00F5742E"/>
    <w:rsid w:val="00F6165C"/>
    <w:rsid w:val="00F63FDA"/>
    <w:rsid w:val="00FB29D7"/>
    <w:rsid w:val="00FB60E9"/>
    <w:rsid w:val="00FB6DAF"/>
    <w:rsid w:val="00FC3178"/>
    <w:rsid w:val="00FD0053"/>
    <w:rsid w:val="00FD360D"/>
    <w:rsid w:val="00FE27CA"/>
    <w:rsid w:val="00FE7D2C"/>
    <w:rsid w:val="00FF62F8"/>
    <w:rsid w:val="180719D7"/>
    <w:rsid w:val="28273B96"/>
    <w:rsid w:val="414B4689"/>
    <w:rsid w:val="47B863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7"/>
    <w:semiHidden/>
    <w:unhideWhenUsed/>
    <w:qFormat/>
    <w:uiPriority w:val="99"/>
    <w:pPr>
      <w:jc w:val="left"/>
    </w:pPr>
  </w:style>
  <w:style w:type="paragraph" w:styleId="7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TML Preformatted"/>
    <w:basedOn w:val="1"/>
    <w:link w:val="26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1">
    <w:name w:val="Title"/>
    <w:basedOn w:val="1"/>
    <w:next w:val="1"/>
    <w:link w:val="2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12">
    <w:name w:val="annotation subject"/>
    <w:basedOn w:val="6"/>
    <w:next w:val="6"/>
    <w:link w:val="28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7">
    <w:name w:val="页眉 Char"/>
    <w:basedOn w:val="15"/>
    <w:link w:val="9"/>
    <w:uiPriority w:val="99"/>
    <w:rPr>
      <w:sz w:val="18"/>
      <w:szCs w:val="18"/>
    </w:rPr>
  </w:style>
  <w:style w:type="character" w:customStyle="1" w:styleId="18">
    <w:name w:val="页脚 Char"/>
    <w:basedOn w:val="15"/>
    <w:link w:val="8"/>
    <w:uiPriority w:val="99"/>
    <w:rPr>
      <w:sz w:val="18"/>
      <w:szCs w:val="18"/>
    </w:rPr>
  </w:style>
  <w:style w:type="character" w:customStyle="1" w:styleId="19">
    <w:name w:val="批注框文本 Char"/>
    <w:basedOn w:val="15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标题 Char"/>
    <w:basedOn w:val="15"/>
    <w:link w:val="11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2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Char"/>
    <w:basedOn w:val="15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4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1 Char"/>
    <w:basedOn w:val="15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6">
    <w:name w:val="HTML 预设格式 Char"/>
    <w:basedOn w:val="15"/>
    <w:link w:val="10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7">
    <w:name w:val="批注文字 Char"/>
    <w:basedOn w:val="15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8">
    <w:name w:val="批注主题 Char"/>
    <w:basedOn w:val="27"/>
    <w:link w:val="12"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D49C86-E248-4822-B403-C163F5B0E1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www.dadighost.com</Company>
  <Pages>2</Pages>
  <Words>362</Words>
  <Characters>2069</Characters>
  <Lines>17</Lines>
  <Paragraphs>4</Paragraphs>
  <TotalTime>8</TotalTime>
  <ScaleCrop>false</ScaleCrop>
  <LinksUpToDate>false</LinksUpToDate>
  <CharactersWithSpaces>2427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2018-09-28T01:26:00Z</dcterms:created>
  <dc:creator>黎琳</dc:creator>
  <cp:lastModifiedBy>LiuYunpeng</cp:lastModifiedBy>
  <dcterms:modified xsi:type="dcterms:W3CDTF">2023-02-07T01:57:48Z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